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Lösningsarkitekt till </w:t>
      </w:r>
      <w:proofErr w:type="gramStart"/>
      <w:r w:rsidR="004367F9" w:rsidRPr="004367F9">
        <w:rPr>
          <w:rFonts w:ascii="Roboto" w:hAnsi="Roboto"/>
          <w:b/>
          <w:bCs/>
        </w:rPr>
        <w:t xml:space="preserve">Löf regionernas ömsesidiga försäkringsbolag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erfarenhet av att leda IT-projekt i samverkan mellan IT och kärnverksamheten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migrering av IT-system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arbeta enligt agila arbetsmetoder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Leda projekt med fokus på migrering mellan ärendehanterings-/dokumenthanteringssystem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Arbetat i Azure DevOps eller motsvarande ärendehanteringssystem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finans-/eller försäkringsbransch då det innebär regulatoriska krav att beakta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Arbetat som projektledare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